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spacing w:lineRule="auto" w:line="240" w:before="0" w:after="0"/>
        <w:ind w:left="0" w:right="0" w:hanging="0"/>
        <w:jc w:val="center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ДОГОВОР №  {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00" w:val="clear"/>
          <w:lang w:val="en-US"/>
        </w:rPr>
        <w:t>НомерДокумента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}</w:t>
      </w:r>
    </w:p>
    <w:p>
      <w:pPr>
        <w:pStyle w:val="Style18"/>
        <w:widowControl/>
        <w:spacing w:lineRule="auto" w:line="240" w:before="0" w:after="0"/>
        <w:jc w:val="center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ПОДРЯДА НА ВЫПОЛНЕНИЕ РАБОТ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tabs>
          <w:tab w:val="left" w:pos="7368" w:leader="none"/>
        </w:tabs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г. Екатеринбург</w:t>
        <w:tab/>
        <w:t>{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00" w:val="clear"/>
          <w:lang w:val="en-US"/>
        </w:rPr>
        <w:t>ДатаДокумента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}</w:t>
      </w:r>
    </w:p>
    <w:p>
      <w:pPr>
        <w:pStyle w:val="Style18"/>
        <w:widowControl/>
        <w:tabs>
          <w:tab w:val="left" w:pos="6763" w:leader="none"/>
        </w:tabs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{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00" w:val="clear"/>
          <w:lang w:val="en-US"/>
        </w:rPr>
        <w:t>НазваниеКонтр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}, именуемое в дальнейшем «Заказчик», в лице  {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00" w:val="clear"/>
          <w:lang w:val="en-US"/>
        </w:rPr>
        <w:t>КонтрВЛице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 xml:space="preserve">}, действующего на основании устава, с одной стороны, и  Индивидуальный Предприниматель, именуемый в дальнейшем «Подрядчик», в лице 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/>
        </w:rPr>
        <w:t>Лазарев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/>
        </w:rPr>
        <w:t>а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/>
        </w:rPr>
        <w:t xml:space="preserve"> Евгени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/>
        </w:rPr>
        <w:t>я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/>
        </w:rPr>
        <w:t xml:space="preserve"> Михайлович</w:t>
      </w:r>
      <w:r>
        <w:rPr>
          <w:rFonts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/>
        </w:rPr>
        <w:t>а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, действующего на основании Свидетельства, с другой стороны, вместе и по отдельности именуемые «Стороны», заключили настоящий Договор о нижеследующем: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 ПРЕДМЕТ ДОГОВОРА.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1.1. Подрядчик обязуется выполнить по заданию Заказчика работу по созданию произведений в области информационных технологий (далее «Произведения») согласно приложению 1, а именно: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1.1.1. Графический дизайн (дизайн страниц сайтов);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1.1.2. Программирование (JAVA-программирование, иные виды программирования);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1.1.3. Вёрстка шаблонов страниц сайтов;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1.1.5. Выполнение иных необходимых Заказчику работ.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1.2. Заказчик обязуется принять выполненную Подрядчиком работу и оплатить её в порядке, определённом настоящим Договором.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1.3 Поддержка в рамках данного договора не производится и будет оказываться в соответствии с доп. соглашением или договором на поддержку.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1.4. Работы Подрядчик выполняет на территории своей страны.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 ПРАВА И ОБЯЗАННОСТИ СТОРОН.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2.1. Заказчик обязуется: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2.1.1. Согласовать техническое задание являющиеся неотъемлемой частью договора.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2.1.2. Принять и рассмотреть первоначальный вариант Произведения в электронном виде расположенном на портале Битрикс24, одобрив работу либо сообщив Подрядчику о необходимости внесения поправок и доработок с указанием требуемых исправлений при помощи используемой системы учёта заданий.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 получении указаний Заказчика о внесении поправок и доработок Подрядчик обязуется в согласованные Сторонами сроки внести требуемые исправления и повторно представить Произведение Заказчику.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 одобрении результата, Заказчик подписывает акт выполненных работ. С момента подписания акта Заказчиком все права на Произведение считаются переданными Подрядчиком Заказчику, а работа – выполненной.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2.2. Подрядчик обязуется: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2.2.1. Создавать Произведения своими силами и средствами, гарантируя наличие у него авторских прав на передаваемые Заказчику по настоящему Договору Произведения.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2.2.2. Создавать Произведения в сроки, установленные Сторонами в приложении к договору.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2.2.3. Вносить требуемые Заказчиком исправления и согласовывать их в порядке, предусмотренном п. 2.1.2. настоящего Договора.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2.2.4. Соблюдать режим конфиденциальности в отношении переданных Заказчиком заданий.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2.3. Заказчик имеет право: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2.3.1. Требовать у Подрядчика предоставления сведений о ходе исполнения задания.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2.4. Подтверждением исполнения обязательств перед Заказчиком, является акт выполненных работ и произведение в электронном виде.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3. ПОРЯДОК РАСЧЕТОВ.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3.1. Стоимость работ, выполняемых по настоящему Договору, берется из расчёта стоимости одного часа работ равного 1000 (тысяча) рублей 00 копеек умноженного на трудоёмкость в часах, согласованную Сторонами в приложении 2 к договору, в зависимости от объёма и сложности подлежащего созданию Подрядчиком Произведения.</w:t>
      </w:r>
    </w:p>
    <w:p>
      <w:pPr>
        <w:pStyle w:val="Style18"/>
        <w:widowControl/>
        <w:spacing w:lineRule="auto" w:line="240" w:before="0" w:after="0"/>
        <w:jc w:val="both"/>
        <w:rPr/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3.2. Оплата работ осуществляется Заказчиком в два этапа: аванс равный 50% от стоимости работ и 50% от стоимости работ в течении 5 рабочих дней с даты подписания акта выполненных работ в соответствии с пп. 2.1.2.,2.4. настоящего Договора.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 ОСНОВАНИЯ ПРЕКРАЩЕНИЯ ДОГОВОРА. ОТВЕТСТВЕННОСТЬ СТОРОН.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4.1. Настоящий Договор прекращает действие в следующих случаях:</w:t>
      </w:r>
    </w:p>
    <w:p>
      <w:pPr>
        <w:pStyle w:val="Style18"/>
        <w:widowControl/>
        <w:numPr>
          <w:ilvl w:val="0"/>
          <w:numId w:val="1"/>
        </w:numPr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при исполнении Сторонами обязательств;</w:t>
      </w:r>
    </w:p>
    <w:p>
      <w:pPr>
        <w:pStyle w:val="Style18"/>
        <w:widowControl/>
        <w:numPr>
          <w:ilvl w:val="0"/>
          <w:numId w:val="1"/>
        </w:numPr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по соглашению Сторон.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4.2. Любая из Сторон вправе отказаться от исполнения обязательств по настоящему Договору при условии полного возмещения другой Стороне понесённых ею убытков.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4.3. За надлежащее исполнение принятых на себя обязательств Стороны несут ответственность в порядке, предусмотренном действующим законодательством РФ.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4.4. Подрядчик обязуется возместить убытки, возникшие у Заказчика в силу нарушения Подрядчиком положений, установленных п. 2.2.1. настоящего Договора.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4.6.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а именно: стихийные бедствия, чрезвычайные события социального характера (война, массовые беспорядки).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 ПОРЯДОК РАЗРЕШЕНИЯ СПОРОВ.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5.1. Все споры и разногласия, возникающие в процессе исполнения настоящего Договора, будут разрешаться путём переговоров.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5.2. В случае,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РФ.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5.3.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5.4. Настоящий Договор заключён в 2-х экземплярах, по одному для каждой из Сторон.</w:t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eastAsia="AR PL UMing HK" w:cs="DejaVu Sans Mono" w:ascii="Verdana" w:hAnsi="Verdana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r>
    </w:p>
    <w:p>
      <w:pPr>
        <w:pStyle w:val="Style18"/>
        <w:widowControl/>
        <w:spacing w:lineRule="auto" w:line="240" w:before="0" w:after="0"/>
        <w:jc w:val="both"/>
        <w:rPr>
          <w:rFonts w:ascii="Verdana" w:hAnsi="Verdana" w:eastAsia="AR PL UMing HK" w:cs="DejaVu Sans Mon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shd w:fill="FFFFFF" w:val="clear"/>
        </w:rPr>
        <w:t>6. РЕКВИЗИТЫ И ПОДПИСИ СТОРОН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sz w:val="24"/>
          <w:szCs w:val="24"/>
          <w:shd w:fill="FFFFFF" w:val="clear"/>
        </w:rPr>
      </w:pPr>
      <w:r>
        <w:rPr>
          <w:rFonts w:ascii="Verdana" w:hAnsi="Verdana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u w:val="single"/>
          <w:shd w:fill="FFFFFF" w:val="clear"/>
        </w:rPr>
      </w:pPr>
      <w:r>
        <w:rPr>
          <w:rFonts w:ascii="Verdana" w:hAnsi="Verdana"/>
          <w:b/>
          <w:bCs/>
          <w:sz w:val="24"/>
          <w:szCs w:val="24"/>
          <w:u w:val="single"/>
          <w:shd w:fill="FFFFFF" w:val="clear"/>
        </w:rPr>
        <w:t>Заказчик: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НазваниеКонтр</w:t>
      </w:r>
      <w:r>
        <w:rPr>
          <w:rFonts w:ascii="Verdana" w:hAnsi="Verdana"/>
          <w:sz w:val="24"/>
          <w:szCs w:val="24"/>
          <w:shd w:fill="FFFFFF" w:val="clear"/>
        </w:rPr>
        <w:t>}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ИНН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ИННКонтр</w:t>
      </w:r>
      <w:r>
        <w:rPr>
          <w:rFonts w:ascii="Verdana" w:hAnsi="Verdana"/>
          <w:sz w:val="24"/>
          <w:szCs w:val="24"/>
          <w:shd w:fill="FFFFFF" w:val="clear"/>
        </w:rPr>
        <w:t>}, КПП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КППКонтр</w:t>
      </w:r>
      <w:r>
        <w:rPr>
          <w:rFonts w:ascii="Verdana" w:hAnsi="Verdana"/>
          <w:sz w:val="24"/>
          <w:szCs w:val="24"/>
          <w:shd w:fill="FFFFFF" w:val="clear"/>
        </w:rPr>
        <w:t>}, ОГРН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ОГРНКонтр</w:t>
      </w:r>
      <w:r>
        <w:rPr>
          <w:rFonts w:ascii="Verdana" w:hAnsi="Verdana"/>
          <w:sz w:val="24"/>
          <w:szCs w:val="24"/>
          <w:shd w:fill="FFFFFF" w:val="clear"/>
        </w:rPr>
        <w:t>}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  <w:sz w:val="24"/>
          <w:szCs w:val="24"/>
          <w:shd w:fill="FFFFFF" w:val="clear"/>
        </w:rPr>
        <w:t>Юридический адрес:</w:t>
      </w:r>
      <w:r>
        <w:rPr>
          <w:rFonts w:ascii="Verdana" w:hAnsi="Verdana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АдресКонтр</w:t>
      </w:r>
      <w:r>
        <w:rPr>
          <w:rFonts w:ascii="Verdana" w:hAnsi="Verdana"/>
          <w:sz w:val="24"/>
          <w:szCs w:val="24"/>
          <w:shd w:fill="FFFFFF" w:val="clear"/>
        </w:rPr>
        <w:t>}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shd w:fill="FFFFFF" w:val="clear"/>
        </w:rPr>
      </w:pPr>
      <w:r>
        <w:rPr>
          <w:rFonts w:ascii="Verdana" w:hAnsi="Verdana"/>
          <w:b/>
          <w:bCs/>
          <w:sz w:val="24"/>
          <w:szCs w:val="24"/>
          <w:shd w:fill="FFFFFF" w:val="clear"/>
        </w:rPr>
        <w:t>Банковские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р/с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РасчетныйСчетКонтр</w:t>
      </w:r>
      <w:r>
        <w:rPr>
          <w:rFonts w:ascii="Verdana" w:hAnsi="Verdana"/>
          <w:sz w:val="24"/>
          <w:szCs w:val="24"/>
          <w:shd w:fill="FFFFFF" w:val="clear"/>
        </w:rPr>
        <w:t>} в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НаименованиеБанкаКонтр</w:t>
      </w:r>
      <w:r>
        <w:rPr>
          <w:rFonts w:ascii="Verdana" w:hAnsi="Verdana"/>
          <w:sz w:val="24"/>
          <w:szCs w:val="24"/>
          <w:shd w:fill="FFFFFF" w:val="clear"/>
        </w:rPr>
        <w:t>}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БИК: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БИКБанкаКонтр</w:t>
      </w:r>
      <w:r>
        <w:rPr>
          <w:rFonts w:ascii="Verdana" w:hAnsi="Verdana"/>
          <w:sz w:val="24"/>
          <w:szCs w:val="24"/>
          <w:shd w:fill="FFFFFF" w:val="clear"/>
        </w:rPr>
        <w:t>},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к/с {</w:t>
      </w:r>
      <w:r>
        <w:rPr>
          <w:rFonts w:ascii="Verdana" w:hAnsi="Verdana"/>
          <w:color w:val="000000" w:themeColor="text1"/>
          <w:sz w:val="24"/>
          <w:szCs w:val="24"/>
          <w:shd w:fill="FFFF00" w:val="clear"/>
          <w:lang w:val="en-US"/>
        </w:rPr>
        <w:t>КоррСчетКонтр</w:t>
      </w:r>
      <w:r>
        <w:rPr>
          <w:rFonts w:ascii="Verdana" w:hAnsi="Verdana"/>
          <w:sz w:val="24"/>
          <w:szCs w:val="24"/>
          <w:shd w:fill="FFFFFF" w:val="clear"/>
        </w:rPr>
        <w:t xml:space="preserve">} в ГРКЦ ГУ Банка России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u w:val="single"/>
          <w:shd w:fill="FFFFFF" w:val="clear"/>
        </w:rPr>
      </w:pPr>
      <w:r>
        <w:rPr>
          <w:rFonts w:ascii="Verdana" w:hAnsi="Verdana"/>
          <w:b/>
          <w:bCs/>
          <w:sz w:val="24"/>
          <w:szCs w:val="24"/>
          <w:u w:val="single"/>
          <w:shd w:fill="FFFFFF" w:val="clear"/>
        </w:rPr>
        <w:t>Подрядчик: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>Индивидуальный Предприниматель Лазарев Евгений Михайлович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 xml:space="preserve">ИНН </w:t>
      </w:r>
      <w:r>
        <w:rPr>
          <w:rFonts w:ascii="Verdana" w:hAnsi="Verdana"/>
          <w:color w:val="000000" w:themeColor="text1"/>
          <w:sz w:val="24"/>
          <w:szCs w:val="24"/>
          <w:shd w:fill="FFFFFF" w:val="clear"/>
          <w:lang w:val="en-US"/>
        </w:rPr>
        <w:t>665840163861</w:t>
      </w:r>
      <w:r>
        <w:rPr>
          <w:rFonts w:ascii="Verdana" w:hAnsi="Verdana"/>
          <w:sz w:val="24"/>
          <w:szCs w:val="24"/>
          <w:shd w:fill="FFFFFF" w:val="clear"/>
        </w:rPr>
        <w:t xml:space="preserve">, </w:t>
      </w:r>
      <w:r>
        <w:rPr>
          <w:rFonts w:eastAsia="AR PL UMing HK" w:cs="Lohit Hindi" w:ascii="Verdana" w:hAnsi="Verdana"/>
          <w:color w:val="000000" w:themeColor="text1"/>
          <w:sz w:val="24"/>
          <w:szCs w:val="24"/>
          <w:shd w:fill="FFFFFF" w:val="clear"/>
          <w:lang w:val="en-US" w:eastAsia="zh-CN" w:bidi="hi-IN"/>
        </w:rPr>
        <w:t>ОГРН</w:t>
      </w:r>
      <w:r>
        <w:rPr>
          <w:rFonts w:eastAsia="AR PL UMing HK" w:cs="Lohit Hindi" w:ascii="Verdana" w:hAnsi="Verdana"/>
          <w:color w:val="000000" w:themeColor="text1"/>
          <w:sz w:val="24"/>
          <w:szCs w:val="24"/>
          <w:shd w:fill="FFFFFF" w:val="clear"/>
          <w:lang w:val="en-US" w:eastAsia="zh-CN" w:bidi="hi-IN"/>
        </w:rPr>
        <w:t>ИП</w:t>
      </w:r>
      <w:r>
        <w:rPr>
          <w:rFonts w:eastAsia="AR PL UMing HK" w:cs="Lohit Hindi" w:ascii="Verdana" w:hAnsi="Verdana"/>
          <w:color w:val="000000" w:themeColor="text1"/>
          <w:sz w:val="24"/>
          <w:szCs w:val="24"/>
          <w:shd w:fill="FFFFFF" w:val="clear"/>
          <w:lang w:val="en-US" w:eastAsia="zh-CN" w:bidi="hi-IN"/>
        </w:rPr>
        <w:t xml:space="preserve"> </w:t>
      </w:r>
      <w:r>
        <w:rPr>
          <w:rFonts w:eastAsia="AR PL UMing HK" w:cs="Lohit Hindi" w:ascii="Verdana" w:hAnsi="Verdana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shd w:fill="FFFFFF" w:val="clear"/>
          <w:lang w:val="en-US" w:eastAsia="zh-CN" w:bidi="hi-IN"/>
        </w:rPr>
        <w:t>316965800034066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b/>
          <w:bCs/>
          <w:sz w:val="24"/>
          <w:szCs w:val="24"/>
          <w:shd w:fill="FFFFFF" w:val="clear"/>
        </w:rPr>
        <w:t>Юридический адрес:</w:t>
      </w:r>
      <w:r>
        <w:rPr>
          <w:rFonts w:ascii="Verdana" w:hAnsi="Verdana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color w:val="000000" w:themeColor="text1"/>
          <w:sz w:val="20"/>
          <w:szCs w:val="20"/>
          <w:shd w:fill="FFFFFF" w:val="clear"/>
        </w:rPr>
        <w:t xml:space="preserve">620062, Свердловская обл, г Екатеринбург, ул Малышева, д 107, корп 2, кв 23 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/>
          <w:b/>
          <w:bCs/>
          <w:sz w:val="24"/>
          <w:szCs w:val="24"/>
          <w:shd w:fill="FFFFFF" w:val="clear"/>
        </w:rPr>
      </w:pPr>
      <w:r>
        <w:rPr>
          <w:rFonts w:ascii="Verdana" w:hAnsi="Verdana"/>
          <w:b/>
          <w:bCs/>
          <w:sz w:val="24"/>
          <w:szCs w:val="24"/>
          <w:shd w:fill="FFFFFF" w:val="clear"/>
        </w:rPr>
        <w:t>Банковские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 xml:space="preserve">р/с </w:t>
      </w:r>
      <w:r>
        <w:rPr>
          <w:rFonts w:ascii="Verdana" w:hAnsi="Verdana"/>
          <w:color w:val="000000" w:themeColor="text1"/>
          <w:sz w:val="24"/>
          <w:szCs w:val="24"/>
          <w:shd w:fill="FFFFFF" w:val="clear"/>
          <w:lang w:val="en-US"/>
        </w:rPr>
        <w:t>40802810700280008857</w:t>
      </w:r>
      <w:r>
        <w:rPr>
          <w:rFonts w:ascii="Verdana" w:hAnsi="Verdana"/>
          <w:sz w:val="24"/>
          <w:szCs w:val="24"/>
          <w:shd w:fill="FFFFFF" w:val="clear"/>
        </w:rPr>
        <w:t xml:space="preserve"> в </w:t>
      </w:r>
      <w:r>
        <w:rPr>
          <w:rFonts w:ascii="Verdana" w:hAnsi="Verdana"/>
          <w:color w:val="000000" w:themeColor="text1"/>
          <w:sz w:val="24"/>
          <w:szCs w:val="24"/>
          <w:shd w:fill="FFFFFF" w:val="clear"/>
          <w:lang w:val="en-US"/>
        </w:rPr>
        <w:t>БАНК "НЕЙВА" ООО г. ЕКАТЕРИНБУРГ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 xml:space="preserve">БИК: </w:t>
      </w:r>
      <w:r>
        <w:rPr>
          <w:rFonts w:ascii="Verdana" w:hAnsi="Verdana"/>
          <w:color w:val="000000" w:themeColor="text1"/>
          <w:sz w:val="24"/>
          <w:szCs w:val="24"/>
          <w:shd w:fill="FFFFFF" w:val="clear"/>
          <w:lang w:val="en-US"/>
        </w:rPr>
        <w:t>046577774</w:t>
      </w:r>
      <w:r>
        <w:rPr>
          <w:rFonts w:ascii="Verdana" w:hAnsi="Verdana"/>
          <w:sz w:val="24"/>
          <w:szCs w:val="24"/>
          <w:shd w:fill="FFFFFF" w:val="clear"/>
        </w:rPr>
        <w:t>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Verdana" w:hAnsi="Verdana"/>
          <w:sz w:val="24"/>
          <w:szCs w:val="24"/>
          <w:shd w:fill="FFFFFF" w:val="clear"/>
        </w:rPr>
        <w:t xml:space="preserve">к/с </w:t>
      </w:r>
      <w:r>
        <w:rPr>
          <w:rFonts w:ascii="Verdana" w:hAnsi="Verdana"/>
          <w:color w:val="000000" w:themeColor="text1"/>
          <w:sz w:val="24"/>
          <w:szCs w:val="24"/>
          <w:shd w:fill="FFFFFF" w:val="clear"/>
          <w:lang w:val="en-US"/>
        </w:rPr>
        <w:t>30101810400000000774</w:t>
      </w:r>
      <w:r>
        <w:rPr>
          <w:rFonts w:ascii="Verdana" w:hAnsi="Verdana"/>
          <w:sz w:val="24"/>
          <w:szCs w:val="24"/>
          <w:shd w:fill="FFFFFF" w:val="clear"/>
        </w:rPr>
        <w:t xml:space="preserve"> в ГРКЦ ГУ Банка России</w:t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shd w:fill="FFFFFF" w:val="clear"/>
        </w:rPr>
      </w:r>
    </w:p>
    <w:p>
      <w:pPr>
        <w:pStyle w:val="Normal"/>
        <w:tabs>
          <w:tab w:val="left" w:pos="1450" w:leader="none"/>
          <w:tab w:val="left" w:pos="6663" w:leader="none"/>
        </w:tabs>
        <w:spacing w:lineRule="auto" w:line="240" w:before="0" w:after="0"/>
        <w:jc w:val="both"/>
        <w:rPr/>
      </w:pPr>
      <w:r>
        <w:rPr>
          <w:rFonts w:ascii="Verdana" w:hAnsi="Verdana"/>
          <w:b/>
          <w:bCs/>
          <w:sz w:val="24"/>
          <w:szCs w:val="24"/>
          <w:shd w:fill="FFFFFF" w:val="clear"/>
        </w:rPr>
        <w:tab/>
      </w:r>
      <w:r>
        <w:rPr>
          <w:rFonts w:ascii="Verdana" w:hAnsi="Verdana"/>
          <w:b/>
          <w:bCs/>
          <w:sz w:val="24"/>
          <w:szCs w:val="24"/>
          <w:u w:val="single"/>
          <w:shd w:fill="FFFFFF" w:val="clear"/>
        </w:rPr>
        <w:t>Заказчик</w:t>
      </w:r>
      <w:r>
        <w:rPr>
          <w:rFonts w:ascii="Verdana" w:hAnsi="Verdana"/>
          <w:b/>
          <w:bCs/>
          <w:sz w:val="24"/>
          <w:szCs w:val="24"/>
          <w:shd w:fill="FFFFFF" w:val="clear"/>
        </w:rPr>
        <w:tab/>
      </w:r>
      <w:r>
        <w:rPr>
          <w:rFonts w:ascii="Verdana" w:hAnsi="Verdana"/>
          <w:b/>
          <w:bCs/>
          <w:sz w:val="24"/>
          <w:szCs w:val="24"/>
          <w:u w:val="single"/>
          <w:shd w:fill="FFFFFF" w:val="clear"/>
        </w:rPr>
        <w:t>Подрядчик</w:t>
      </w:r>
    </w:p>
    <w:p>
      <w:pPr>
        <w:pStyle w:val="Normal"/>
        <w:tabs>
          <w:tab w:val="left" w:pos="1450" w:leader="none"/>
          <w:tab w:val="left" w:pos="6663" w:leader="none"/>
        </w:tabs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u w:val="none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  <w:shd w:fill="FFFFFF" w:val="clear"/>
        </w:rPr>
      </w:r>
    </w:p>
    <w:p>
      <w:pPr>
        <w:pStyle w:val="Normal"/>
        <w:tabs>
          <w:tab w:val="left" w:pos="1450" w:leader="none"/>
          <w:tab w:val="left" w:pos="6663" w:leader="none"/>
        </w:tabs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u w:val="none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  <w:shd w:fill="FFFFFF" w:val="clear"/>
        </w:rPr>
      </w:r>
    </w:p>
    <w:p>
      <w:pPr>
        <w:pStyle w:val="Normal"/>
        <w:tabs>
          <w:tab w:val="left" w:pos="813" w:leader="none"/>
          <w:tab w:val="left" w:pos="5280" w:leader="none"/>
        </w:tabs>
        <w:spacing w:lineRule="auto" w:line="240" w:before="0" w:after="0"/>
        <w:jc w:val="both"/>
        <w:rPr/>
      </w:pPr>
      <w:r>
        <w:rPr>
          <w:rFonts w:ascii="Verdana" w:hAnsi="Verdana"/>
          <w:b w:val="false"/>
          <w:bCs w:val="false"/>
          <w:sz w:val="24"/>
          <w:szCs w:val="24"/>
          <w:u w:val="none"/>
          <w:shd w:fill="FFFFFF" w:val="clear"/>
        </w:rPr>
        <w:tab/>
        <w:t>____________/{</w:t>
      </w:r>
      <w:r>
        <w:rPr>
          <w:rFonts w:ascii="Verdana" w:hAnsi="Verdana"/>
          <w:b w:val="false"/>
          <w:bCs w:val="false"/>
          <w:color w:val="000000" w:themeColor="text1"/>
          <w:sz w:val="24"/>
          <w:szCs w:val="24"/>
          <w:u w:val="none"/>
          <w:shd w:fill="FFFF00" w:val="clear"/>
          <w:lang w:val="en-US"/>
        </w:rPr>
        <w:t>ФИОКонтрДляПодписи</w:t>
      </w:r>
      <w:r>
        <w:rPr>
          <w:rFonts w:ascii="Verdana" w:hAnsi="Verdana"/>
          <w:b w:val="false"/>
          <w:bCs w:val="false"/>
          <w:sz w:val="24"/>
          <w:szCs w:val="24"/>
          <w:u w:val="none"/>
          <w:shd w:fill="FFFFFF" w:val="clear"/>
        </w:rPr>
        <w:t>}</w:t>
        <w:tab/>
        <w:t xml:space="preserve">____________/ </w:t>
      </w:r>
      <w:r>
        <w:rPr>
          <w:rFonts w:ascii="Verdana" w:hAnsi="Verdana"/>
          <w:b w:val="false"/>
          <w:bCs w:val="false"/>
          <w:color w:val="000000" w:themeColor="text1"/>
          <w:sz w:val="24"/>
          <w:szCs w:val="24"/>
          <w:u w:val="none"/>
          <w:shd w:fill="auto" w:val="clear"/>
          <w:lang w:val="en-US"/>
        </w:rPr>
        <w:t>Лазарев Е.М.</w:t>
      </w:r>
    </w:p>
    <w:p>
      <w:pPr>
        <w:pStyle w:val="Normal"/>
        <w:tabs>
          <w:tab w:val="left" w:pos="1063" w:leader="none"/>
          <w:tab w:val="left" w:pos="6388" w:leader="none"/>
        </w:tabs>
        <w:spacing w:lineRule="auto" w:line="240" w:before="0" w:after="0"/>
        <w:jc w:val="both"/>
        <w:rPr>
          <w:rFonts w:ascii="Verdana" w:hAnsi="Verdana"/>
          <w:b w:val="false"/>
          <w:b w:val="false"/>
          <w:bCs w:val="false"/>
          <w:sz w:val="24"/>
          <w:szCs w:val="24"/>
          <w:u w:val="none"/>
          <w:shd w:fill="FFFFFF" w:val="clear"/>
        </w:rPr>
      </w:pPr>
      <w:r>
        <w:rPr>
          <w:rFonts w:ascii="Verdana" w:hAnsi="Verdana"/>
          <w:b w:val="false"/>
          <w:bCs w:val="false"/>
          <w:sz w:val="24"/>
          <w:szCs w:val="24"/>
          <w:u w:val="none"/>
          <w:shd w:fill="FFFFFF" w:val="clear"/>
        </w:rPr>
      </w:r>
    </w:p>
    <w:p>
      <w:pPr>
        <w:pStyle w:val="Normal"/>
        <w:tabs>
          <w:tab w:val="left" w:pos="1738" w:leader="none"/>
          <w:tab w:val="left" w:pos="6120" w:leader="none"/>
        </w:tabs>
        <w:spacing w:lineRule="auto" w:line="240" w:before="0" w:after="0"/>
        <w:jc w:val="both"/>
        <w:rPr/>
      </w:pPr>
      <w:r>
        <w:rPr>
          <w:rFonts w:ascii="Verdana" w:hAnsi="Verdana"/>
          <w:b w:val="false"/>
          <w:bCs w:val="false"/>
          <w:sz w:val="24"/>
          <w:szCs w:val="24"/>
          <w:u w:val="none"/>
          <w:shd w:fill="FFFFFF" w:val="clear"/>
        </w:rPr>
        <w:tab/>
        <w:t>М.П.</w:t>
        <w:tab/>
        <w:t>Без Печати</w:t>
      </w:r>
    </w:p>
    <w:p>
      <w:pPr>
        <w:pStyle w:val="Normal"/>
        <w:tabs>
          <w:tab w:val="left" w:pos="1738" w:leader="none"/>
          <w:tab w:val="left" w:pos="7675" w:leader="none"/>
        </w:tabs>
        <w:spacing w:lineRule="auto" w:line="240"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DejaVu Sans Mono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 PL UMing HK" w:cs="Lohit Hind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 PL UMing HK" w:cs="Lohit Hindi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Style12">
    <w:name w:val="Интернет-ссылка"/>
    <w:rPr>
      <w:color w:val="000080"/>
      <w:u w:val="single"/>
    </w:rPr>
  </w:style>
  <w:style w:type="character" w:styleId="ListLabel1">
    <w:name w:val="ListLabel 1"/>
    <w:qFormat/>
    <w:rPr>
      <w:rFonts w:ascii="Verdana" w:hAnsi="Verdana" w:cs="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ascii="Verdana" w:hAnsi="Verdana" w:cs="Symbol"/>
      <w:b w:val="false"/>
      <w:sz w:val="24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ascii="Verdana" w:hAnsi="Verdana" w:cs="Symbol"/>
      <w:b w:val="false"/>
      <w:sz w:val="24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Verdana" w:hAnsi="Verdana" w:cs="Symbol"/>
      <w:b w:val="false"/>
      <w:sz w:val="24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ascii="Verdana" w:hAnsi="Verdana" w:cs="Symbol"/>
      <w:b w:val="false"/>
      <w:sz w:val="24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ascii="Verdana" w:hAnsi="Verdana" w:cs="Symbol"/>
      <w:b w:val="false"/>
      <w:sz w:val="24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ascii="Verdana" w:hAnsi="Verdana" w:cs="Symbol"/>
      <w:b w:val="false"/>
      <w:sz w:val="24"/>
    </w:rPr>
  </w:style>
  <w:style w:type="character" w:styleId="ListLabel14">
    <w:name w:val="ListLabel 14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R PL UMing HK" w:cs="Lohit Hindi"/>
      <w:sz w:val="28"/>
      <w:szCs w:val="28"/>
    </w:rPr>
  </w:style>
  <w:style w:type="paragraph" w:styleId="Style14">
    <w:name w:val="Основной текст"/>
    <w:basedOn w:val="Normal"/>
    <w:pPr>
      <w:spacing w:before="0" w:after="120"/>
    </w:pPr>
    <w:rPr/>
  </w:style>
  <w:style w:type="paragraph" w:styleId="Style15">
    <w:name w:val="Список"/>
    <w:basedOn w:val="Style14"/>
    <w:pPr/>
    <w:rPr>
      <w:rFonts w:cs="Lohit Hindi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Hindi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DejaVu Sans Mono" w:hAnsi="DejaVu Sans Mono" w:eastAsia="AR PL UMing HK" w:cs="DejaVu Sans Mono"/>
      <w:sz w:val="20"/>
      <w:szCs w:val="20"/>
    </w:rPr>
  </w:style>
  <w:style w:type="paragraph" w:styleId="Style19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Подзаголовок"/>
    <w:basedOn w:val="Style13"/>
    <w:pPr>
      <w:spacing w:before="60" w:after="120"/>
      <w:jc w:val="center"/>
    </w:pPr>
    <w:rPr>
      <w:sz w:val="36"/>
      <w:szCs w:val="36"/>
    </w:rPr>
  </w:style>
  <w:style w:type="paragraph" w:styleId="Style24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7798</TotalTime>
  <Application>LibreOffice/4.4.2.2$Linux_X86_64 LibreOffice_project/40m0$Build-2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2011-10-28T13:12:01Z</dcterms:created>
  <dc:creator>Лазарев </dc:creator>
  <dc:language>ru-RU</dc:language>
  <dcterms:modified xsi:type="dcterms:W3CDTF">2016-07-20T10:43:10Z</dcterms:modified>
  <cp:revision>25</cp:revision>
</cp:coreProperties>
</file>